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eastAsia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/>
          <w:sz w:val="36"/>
          <w:szCs w:val="36"/>
          <w:lang w:eastAsia="ru-RU"/>
        </w:rPr>
        <w:t xml:space="preserve">Муниципальное автономное учреждение </w:t>
      </w:r>
    </w:p>
    <w:p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eastAsia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/>
          <w:sz w:val="36"/>
          <w:szCs w:val="36"/>
          <w:lang w:eastAsia="ru-RU"/>
        </w:rPr>
        <w:t>дополнительного образования города Перми</w:t>
      </w:r>
    </w:p>
    <w:p>
      <w:pPr>
        <w:tabs>
          <w:tab w:val="left" w:pos="6075"/>
        </w:tabs>
        <w:spacing w:after="120" w:line="240" w:lineRule="auto"/>
        <w:jc w:val="center"/>
        <w:rPr>
          <w:rFonts w:ascii="Times New Roman" w:hAnsi="Times New Roman" w:eastAsia="Times New Roman"/>
          <w:b/>
          <w:sz w:val="44"/>
          <w:szCs w:val="44"/>
          <w:lang w:eastAsia="ru-RU"/>
        </w:rPr>
      </w:pPr>
      <w:r>
        <w:rPr>
          <w:rFonts w:ascii="Times New Roman" w:hAnsi="Times New Roman" w:eastAsia="Times New Roman"/>
          <w:b/>
          <w:sz w:val="44"/>
          <w:szCs w:val="44"/>
          <w:lang w:eastAsia="ru-RU"/>
        </w:rPr>
        <w:t>«Детская музыкальная школа № 6»</w:t>
      </w:r>
    </w:p>
    <w:p>
      <w:pPr>
        <w:tabs>
          <w:tab w:val="left" w:pos="6075"/>
        </w:tabs>
        <w:spacing w:after="12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Theme="minorHAnsi"/>
          <w:b/>
          <w:sz w:val="28"/>
          <w:szCs w:val="28"/>
        </w:rPr>
      </w:pPr>
    </w:p>
    <w:p>
      <w:pPr>
        <w:rPr>
          <w:rFonts w:ascii="Times New Roman" w:hAnsi="Times New Roman" w:eastAsiaTheme="minorHAnsi"/>
          <w:b/>
          <w:sz w:val="28"/>
          <w:szCs w:val="28"/>
        </w:rPr>
      </w:pPr>
    </w:p>
    <w:p>
      <w:pPr>
        <w:rPr>
          <w:rFonts w:ascii="Times New Roman" w:hAnsi="Times New Roman" w:eastAsiaTheme="minorHAnsi"/>
          <w:b/>
          <w:sz w:val="28"/>
          <w:szCs w:val="28"/>
        </w:rPr>
      </w:pPr>
    </w:p>
    <w:p>
      <w:pPr>
        <w:rPr>
          <w:rFonts w:ascii="Times New Roman" w:hAnsi="Times New Roman" w:eastAsiaTheme="minorHAnsi"/>
          <w:b/>
          <w:sz w:val="28"/>
          <w:szCs w:val="28"/>
        </w:rPr>
      </w:pPr>
    </w:p>
    <w:p>
      <w:pPr>
        <w:rPr>
          <w:rFonts w:ascii="Times New Roman" w:hAnsi="Times New Roman" w:eastAsiaTheme="minorHAnsi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Theme="minorHAnsi"/>
          <w:b/>
          <w:sz w:val="48"/>
          <w:szCs w:val="48"/>
        </w:rPr>
      </w:pPr>
      <w:r>
        <w:rPr>
          <w:rFonts w:ascii="Times New Roman" w:hAnsi="Times New Roman" w:eastAsiaTheme="minorHAnsi"/>
          <w:b/>
          <w:sz w:val="48"/>
          <w:szCs w:val="48"/>
        </w:rPr>
        <w:t>Методическая разработка</w:t>
      </w:r>
    </w:p>
    <w:p>
      <w:pPr>
        <w:spacing w:after="0" w:line="240" w:lineRule="auto"/>
        <w:jc w:val="center"/>
        <w:rPr>
          <w:rFonts w:hint="default" w:ascii="Times New Roman" w:hAnsi="Times New Roman" w:eastAsiaTheme="minorHAnsi"/>
          <w:b/>
          <w:sz w:val="48"/>
          <w:szCs w:val="48"/>
          <w:lang w:val="ru-RU"/>
        </w:rPr>
      </w:pPr>
      <w:r>
        <w:rPr>
          <w:rFonts w:ascii="Times New Roman" w:hAnsi="Times New Roman" w:eastAsiaTheme="minorHAnsi"/>
          <w:b/>
          <w:sz w:val="48"/>
          <w:szCs w:val="48"/>
        </w:rPr>
        <w:t>«</w:t>
      </w:r>
      <w:r>
        <w:rPr>
          <w:rFonts w:ascii="Times New Roman" w:hAnsi="Times New Roman" w:eastAsiaTheme="minorHAnsi"/>
          <w:b/>
          <w:sz w:val="48"/>
          <w:szCs w:val="48"/>
          <w:lang w:val="ru-RU"/>
        </w:rPr>
        <w:t>Работа</w:t>
      </w:r>
      <w:r>
        <w:rPr>
          <w:rFonts w:hint="default" w:ascii="Times New Roman" w:hAnsi="Times New Roman" w:eastAsiaTheme="minorHAnsi"/>
          <w:b/>
          <w:sz w:val="48"/>
          <w:szCs w:val="48"/>
          <w:lang w:val="ru-RU"/>
        </w:rPr>
        <w:t xml:space="preserve"> над сонатной формой в средних классах музыкальной школы на примере сонаты  </w:t>
      </w:r>
    </w:p>
    <w:p>
      <w:pPr>
        <w:spacing w:after="0" w:line="240" w:lineRule="auto"/>
        <w:jc w:val="center"/>
        <w:rPr>
          <w:rFonts w:ascii="Times New Roman" w:hAnsi="Times New Roman" w:eastAsiaTheme="minorHAnsi"/>
          <w:b/>
          <w:sz w:val="48"/>
          <w:szCs w:val="48"/>
        </w:rPr>
      </w:pPr>
      <w:r>
        <w:rPr>
          <w:rFonts w:hint="default" w:ascii="Times New Roman" w:hAnsi="Times New Roman" w:eastAsiaTheme="minorHAnsi"/>
          <w:b/>
          <w:sz w:val="48"/>
          <w:szCs w:val="48"/>
          <w:lang w:val="ru-RU"/>
        </w:rPr>
        <w:t>Й. Гайдна</w:t>
      </w:r>
      <w:r>
        <w:rPr>
          <w:rFonts w:ascii="Times New Roman" w:hAnsi="Times New Roman" w:eastAsiaTheme="minorHAnsi"/>
          <w:b/>
          <w:sz w:val="48"/>
          <w:szCs w:val="48"/>
        </w:rPr>
        <w:t>»</w:t>
      </w:r>
    </w:p>
    <w:p>
      <w:pPr>
        <w:rPr>
          <w:rFonts w:ascii="Times New Roman" w:hAnsi="Times New Roman" w:eastAsiaTheme="minorHAnsi"/>
          <w:b/>
          <w:sz w:val="28"/>
          <w:szCs w:val="28"/>
        </w:rPr>
      </w:pPr>
    </w:p>
    <w:p>
      <w:pPr>
        <w:rPr>
          <w:rFonts w:ascii="Times New Roman" w:hAnsi="Times New Roman" w:eastAsiaTheme="minorHAnsi"/>
          <w:b/>
          <w:sz w:val="28"/>
          <w:szCs w:val="28"/>
        </w:rPr>
      </w:pPr>
    </w:p>
    <w:p>
      <w:pPr>
        <w:jc w:val="center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Составитель</w:t>
      </w:r>
    </w:p>
    <w:p>
      <w:pPr>
        <w:ind w:firstLine="1081" w:firstLineChars="300"/>
        <w:jc w:val="both"/>
        <w:rPr>
          <w:rFonts w:hint="default" w:ascii="Times New Roman" w:hAnsi="Times New Roman" w:eastAsiaTheme="minorHAnsi"/>
          <w:b/>
          <w:sz w:val="36"/>
          <w:szCs w:val="36"/>
          <w:lang w:val="ru-RU"/>
        </w:rPr>
      </w:pPr>
      <w:r>
        <w:rPr>
          <w:rFonts w:ascii="Times New Roman" w:hAnsi="Times New Roman" w:eastAsiaTheme="minorHAnsi"/>
          <w:b/>
          <w:sz w:val="36"/>
          <w:szCs w:val="36"/>
          <w:lang w:val="ru-RU"/>
        </w:rPr>
        <w:t>НАТАЛЬЯ</w:t>
      </w:r>
      <w:r>
        <w:rPr>
          <w:rFonts w:hint="default" w:ascii="Times New Roman" w:hAnsi="Times New Roman" w:eastAsiaTheme="minorHAnsi"/>
          <w:b/>
          <w:sz w:val="36"/>
          <w:szCs w:val="36"/>
          <w:lang w:val="ru-RU"/>
        </w:rPr>
        <w:t xml:space="preserve"> ЕВГЕНИЕВНА ТУРСКАЯ</w:t>
      </w:r>
    </w:p>
    <w:p>
      <w:pPr>
        <w:ind w:firstLine="1081" w:firstLineChars="300"/>
        <w:jc w:val="both"/>
        <w:rPr>
          <w:rFonts w:ascii="Times New Roman" w:hAnsi="Times New Roman" w:eastAsiaTheme="minorHAnsi"/>
          <w:b/>
          <w:sz w:val="36"/>
          <w:szCs w:val="36"/>
        </w:rPr>
      </w:pPr>
      <w:r>
        <w:rPr>
          <w:rFonts w:ascii="Times New Roman" w:hAnsi="Times New Roman" w:eastAsiaTheme="minorHAnsi"/>
          <w:b/>
          <w:sz w:val="36"/>
          <w:szCs w:val="36"/>
        </w:rPr>
        <w:t>преподаватель по классу фортепиано</w:t>
      </w:r>
    </w:p>
    <w:p>
      <w:pPr>
        <w:rPr>
          <w:rFonts w:ascii="Times New Roman" w:hAnsi="Times New Roman" w:eastAsiaTheme="minorHAnsi"/>
          <w:b/>
          <w:sz w:val="28"/>
          <w:szCs w:val="28"/>
        </w:rPr>
      </w:pPr>
    </w:p>
    <w:p>
      <w:pPr>
        <w:rPr>
          <w:rFonts w:ascii="Times New Roman" w:hAnsi="Times New Roman" w:eastAsiaTheme="minorHAnsi"/>
          <w:b/>
          <w:sz w:val="28"/>
          <w:szCs w:val="28"/>
        </w:rPr>
      </w:pPr>
    </w:p>
    <w:p>
      <w:pPr>
        <w:rPr>
          <w:rFonts w:ascii="Times New Roman" w:hAnsi="Times New Roman" w:eastAsiaTheme="minorHAnsi"/>
          <w:b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15" w:lineRule="atLeast"/>
        <w:jc w:val="both"/>
        <w:rPr>
          <w:rFonts w:ascii="Arial CYR" w:hAnsi="Arial CYR" w:eastAsia="Arial CYR" w:cs="Arial CYR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15" w:lineRule="atLeast"/>
        <w:jc w:val="center"/>
        <w:rPr>
          <w:rFonts w:ascii="Arial CYR" w:hAnsi="Arial CYR" w:eastAsia="Arial CYR" w:cs="Arial CYR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15" w:lineRule="atLeast"/>
        <w:jc w:val="center"/>
        <w:rPr>
          <w:rFonts w:ascii="Arial CYR" w:hAnsi="Arial CYR" w:eastAsia="Arial CYR" w:cs="Arial CYR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15" w:lineRule="atLeast"/>
        <w:jc w:val="center"/>
        <w:rPr>
          <w:rFonts w:hint="default" w:ascii="Arial CYR" w:hAnsi="Arial CYR" w:eastAsia="Arial CYR" w:cs="Arial CYR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ru-RU"/>
        </w:rPr>
      </w:pPr>
      <w:r>
        <w:rPr>
          <w:rFonts w:ascii="Arial CYR" w:hAnsi="Arial CYR" w:eastAsia="Arial CYR" w:cs="Arial CYR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РАБОТА НАД СОНАТНОЙ ФОРМОЙ В СРЕДНИХ КЛАССАХ МУЗЫКАЛЬНОЙ ШКОЛЫ  НА ПРИМЕРЕ СОНАТЫ</w:t>
      </w:r>
      <w:r>
        <w:rPr>
          <w:rFonts w:hint="default" w:ascii="Arial CYR" w:hAnsi="Arial CYR" w:eastAsia="Arial CYR" w:cs="Arial CYR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15" w:lineRule="atLeast"/>
        <w:ind w:firstLine="1821" w:firstLineChars="650"/>
        <w:jc w:val="both"/>
      </w:pPr>
      <w:r>
        <w:rPr>
          <w:rFonts w:ascii="Arial CYR" w:hAnsi="Arial CYR" w:eastAsia="Arial CYR" w:cs="Arial CYR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Й</w:t>
      </w:r>
      <w:r>
        <w:rPr>
          <w:rFonts w:hint="default" w:ascii="Arial CYR" w:hAnsi="Arial CYR" w:eastAsia="Arial CYR" w:cs="Arial CYR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. </w:t>
      </w:r>
      <w:r>
        <w:rPr>
          <w:rFonts w:ascii="Arial CYR" w:hAnsi="Arial CYR" w:eastAsia="Arial CYR" w:cs="Arial CYR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ГАЙДНА C-DUR (HOB. XVI-10)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Для развития ученика большое значение имеет работа над сонатой-одной из самых важных форм музыкальной литературы.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Понятие «крупная форма» предполагает в первую очередь протяженное развитие, глубину замысла, наличие контрастных образов и связанные с ними специфические исполнительские задачи, а именно: уметь передать характер каждого образа, уметь моментально перестраиваться с одного образа на другой и собрать все воедино, охватить взглядом все произведение целиком.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ascii="Arial" w:hAnsi="Arial" w:cs="Arial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Что такое «соната»? Свое название она получила от латинского слова sonare, что в переводе значит «звучать». Изначально сонатами называли различные инструментальные произведения. Позднее словом соната стали обозначать крупные циклические произведения, состоящие из 3 или 4 частей. Небольшие по размеру сонаты назвали «сонатина» - маленькая соната.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Сонатная форма-построение музыкального произведения на противопоставлении и развитии двух контрастных тем, наиболее развитая из всех гомофонных форм. Она дает возможность объединить самый разнообразный материал, иногда на очень большом временном пространстве.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Сонатная форма, при всей её сложности, обладает большой стройностью и устойчивостью. Благодаря этому она остается актуальной и в нашей время. Сонатная форма стала наиболее полным выражением идей европейского классицизма. В ней имеет место конфликтность, сопоставление двух образов, развитие конфликта и его результат. Эта форма стала единственной, в которой драма была выражена чисто музыкальными средствами,без привлечения каких-либо иных средств,например текста в опере 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В обобщенном виде  схема формы такова- ГП- главная партия, ПП- побочная партия, СП - связующая партия, ЗП -  заключительная партия.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469"/>
        <w:gridCol w:w="540"/>
        <w:gridCol w:w="514"/>
        <w:gridCol w:w="510"/>
        <w:gridCol w:w="1660"/>
        <w:gridCol w:w="525"/>
        <w:gridCol w:w="540"/>
        <w:gridCol w:w="555"/>
        <w:gridCol w:w="495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5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32"/>
                <w:szCs w:val="32"/>
              </w:rPr>
            </w:pPr>
            <w:r>
              <w:rPr>
                <w:rFonts w:ascii="Times New Roman CYR" w:hAnsi="Times New Roman CYR" w:eastAsia="Times New Roman CYR" w:cs="Times New Roman CYR"/>
                <w:sz w:val="32"/>
                <w:szCs w:val="32"/>
                <w:bdr w:val="none" w:color="auto" w:sz="0" w:space="0"/>
              </w:rPr>
              <w:t>Экспозиция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32"/>
                <w:szCs w:val="32"/>
              </w:rPr>
            </w:pPr>
            <w:r>
              <w:rPr>
                <w:rFonts w:hint="default" w:ascii="Times New Roman CYR" w:hAnsi="Times New Roman CYR" w:eastAsia="Times New Roman CYR" w:cs="Times New Roman CYR"/>
                <w:b/>
                <w:sz w:val="32"/>
                <w:szCs w:val="32"/>
                <w:bdr w:val="none" w:color="auto" w:sz="0" w:space="0"/>
              </w:rPr>
              <w:t>Разработка</w:t>
            </w:r>
          </w:p>
        </w:tc>
        <w:tc>
          <w:tcPr>
            <w:tcW w:w="210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32"/>
                <w:szCs w:val="32"/>
              </w:rPr>
            </w:pPr>
            <w:r>
              <w:rPr>
                <w:rFonts w:hint="default" w:ascii="Times New Roman CYR" w:hAnsi="Times New Roman CYR" w:eastAsia="Times New Roman CYR" w:cs="Times New Roman CYR"/>
                <w:sz w:val="32"/>
                <w:szCs w:val="32"/>
                <w:bdr w:val="none" w:color="auto" w:sz="0" w:space="0"/>
              </w:rPr>
              <w:t>Реприза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195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32"/>
                <w:szCs w:val="32"/>
              </w:rPr>
            </w:pPr>
            <w:r>
              <w:rPr>
                <w:rFonts w:hint="default" w:ascii="Times New Roman CYR" w:hAnsi="Times New Roman CYR" w:eastAsia="Times New Roman CYR" w:cs="Times New Roman CYR"/>
                <w:b/>
                <w:sz w:val="32"/>
                <w:szCs w:val="32"/>
                <w:bdr w:val="none" w:color="auto" w:sz="0" w:space="0"/>
              </w:rPr>
              <w:t>ГП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32"/>
                <w:szCs w:val="32"/>
              </w:rPr>
            </w:pPr>
            <w:r>
              <w:rPr>
                <w:rFonts w:hint="default" w:ascii="Times New Roman CYR" w:hAnsi="Times New Roman CYR" w:eastAsia="Times New Roman CYR" w:cs="Times New Roman CYR"/>
                <w:b/>
                <w:sz w:val="32"/>
                <w:szCs w:val="32"/>
                <w:bdr w:val="none" w:color="auto" w:sz="0" w:space="0"/>
              </w:rPr>
              <w:t>СП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32"/>
                <w:szCs w:val="32"/>
              </w:rPr>
            </w:pPr>
            <w:r>
              <w:rPr>
                <w:rFonts w:hint="default" w:ascii="Times New Roman CYR" w:hAnsi="Times New Roman CYR" w:eastAsia="Times New Roman CYR" w:cs="Times New Roman CYR"/>
                <w:b/>
                <w:sz w:val="32"/>
                <w:szCs w:val="32"/>
                <w:bdr w:val="none" w:color="auto" w:sz="0" w:space="0"/>
              </w:rPr>
              <w:t>ПП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32"/>
                <w:szCs w:val="32"/>
              </w:rPr>
            </w:pPr>
            <w:r>
              <w:rPr>
                <w:rFonts w:hint="default" w:ascii="Times New Roman CYR" w:hAnsi="Times New Roman CYR" w:eastAsia="Times New Roman CYR" w:cs="Times New Roman CYR"/>
                <w:b/>
                <w:sz w:val="32"/>
                <w:szCs w:val="32"/>
                <w:bdr w:val="none" w:color="auto" w:sz="0" w:space="0"/>
              </w:rPr>
              <w:t>ЗП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195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32"/>
                <w:szCs w:val="32"/>
              </w:rPr>
            </w:pPr>
            <w:r>
              <w:rPr>
                <w:rFonts w:hint="default" w:ascii="Times New Roman CYR" w:hAnsi="Times New Roman CYR" w:eastAsia="Times New Roman CYR" w:cs="Times New Roman CYR"/>
                <w:b/>
                <w:sz w:val="32"/>
                <w:szCs w:val="32"/>
                <w:bdr w:val="none" w:color="auto" w:sz="0" w:space="0"/>
              </w:rPr>
              <w:t>ГП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32"/>
                <w:szCs w:val="32"/>
              </w:rPr>
            </w:pPr>
            <w:r>
              <w:rPr>
                <w:rFonts w:hint="default" w:ascii="Times New Roman CYR" w:hAnsi="Times New Roman CYR" w:eastAsia="Times New Roman CYR" w:cs="Times New Roman CYR"/>
                <w:b/>
                <w:sz w:val="32"/>
                <w:szCs w:val="32"/>
                <w:bdr w:val="none" w:color="auto" w:sz="0" w:space="0"/>
              </w:rPr>
              <w:t>СП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32"/>
                <w:szCs w:val="32"/>
              </w:rPr>
            </w:pPr>
            <w:r>
              <w:rPr>
                <w:rFonts w:hint="default" w:ascii="Times New Roman CYR" w:hAnsi="Times New Roman CYR" w:eastAsia="Times New Roman CYR" w:cs="Times New Roman CYR"/>
                <w:b/>
                <w:sz w:val="32"/>
                <w:szCs w:val="32"/>
                <w:bdr w:val="none" w:color="auto" w:sz="0" w:space="0"/>
              </w:rPr>
              <w:t>ПП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32"/>
                <w:szCs w:val="32"/>
              </w:rPr>
            </w:pPr>
            <w:r>
              <w:rPr>
                <w:rFonts w:hint="default" w:ascii="Times New Roman CYR" w:hAnsi="Times New Roman CYR" w:eastAsia="Times New Roman CYR" w:cs="Times New Roman CYR"/>
                <w:b/>
                <w:sz w:val="32"/>
                <w:szCs w:val="32"/>
                <w:bdr w:val="none" w:color="auto" w:sz="0" w:space="0"/>
              </w:rPr>
              <w:t>ЗП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195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195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lang w:val="en-US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lang w:val="en-US"/>
              </w:rPr>
              <w:t>D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195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lang w:val="en-US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lang w:val="en-US"/>
              </w:rPr>
              <w:t>T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32"/>
                <w:szCs w:val="32"/>
              </w:rPr>
            </w:pPr>
            <w:r>
              <w:rPr>
                <w:rFonts w:hint="default" w:ascii="Calibri" w:hAnsi="Calibri" w:cs="Calibri"/>
                <w:sz w:val="32"/>
                <w:szCs w:val="32"/>
                <w:bdr w:val="none" w:color="auto" w:sz="0" w:space="0"/>
              </w:rPr>
              <w:t>     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195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Экспозиция ― начальный раздел формы. Она состоит из главной партии в главной тональности, связующей партии (в которой происходит модуляция), побочной партии в новой тональности и с новым образным наполнением и заключительной партией, которая завершает экспозицию. Партиями называют различные участки экспозиции, обособленные гармонически.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Экспозиция- то же, что и завязка в пьесе, она содержит изложение основных музыкальных тем. Слушатель как бы знакомится с участниками действия. Так, главная партия выдержана в основной тональности, связующая представляет собой неустойчивый ход, побочная партия выдержана в новой тональности. Главная партия - чрезвычайно важная составляющая экспозиции. Она основа будущего конфликта и развития.  В рассматриваемой сонате основная мысль произведения ярко и лаконично заключена в главной партии - ее начальном восьмитакте. Типично классический период - два взаимоуравновешивающие предложения: «вопрос-ответ», легкая мелодия-песенка с предельно простым сопровождением. Перед нами возникает вполне законченный образ, полный тонких стилистических деталей, по которым сразу заметен творческий почерк композитора.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В сонате нет обособленной связующей партии ― модуляция в доминантовую тональность происходит в конце второго предложения.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Главная гармоническая функция побочной партии - установление новой тональности. В абсолютном большинстве случаев это тональности доминантового направления: для мажорного произведения - доминантовая тональность, для минорного - доминантовая  или параллельная. В редких случаях это может быть параллельная (минорная) тональность в мажорном произведении, либо другие терцовые соотношения тональностей.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В экспозиции нет значительных контрастов, более контрастна разработка - второй большой раздел формы. В ней происходит развитие тем в условиях тональной и гармонической неустойчивости. В самом ее начале, при отклонении в параллельный минор музыка приобретает оттенок серьезности, раздумья.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Постоянная неустойчивость ― главное свойство разработки.  Неустойчивость выражается в гармоническом строении, в нашей сонате это - проведение тем  сначала главной партии в соль-мажоре,затем в ля-миноре, потом появление  и секвенционное проведение темы побочной партии и тема заключительной партии, приводящая к репризе.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Так как разработка самый неустойчивый раздел формы, она наименее регламентирована. В зрелой сонатной форме  разработка каждого произведения индивидуальна, каждый раз она выстраивается в соответствии со свойствами материала экспозиции и общей идеей произведения.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Как и другие развивающие разделы формы, разработка имеет три этапа - вступительный (пребывание в тональности), собственно развивающий (модуляции в разные тональности) и та или иная подготовка тональности репризы.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Реприза - третий крупный раздел формы. В целом она повторяет экспозицию, но обязательным является перенос побочной партии в главную (или одноимённую ей) тональность, гораздо реже в другую тональность. При этом побочная партия в репризе никогда не звучит в той же тональности, в какой она звучала в экспозиции. Это уничтожило бы «идею» сонатной формы, так как в таком случае развитие не имело бы результата.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Реприза снимает или ослабляет конфликт и завершает форму. Это достигается путём её тонального объединения: реприза начинается и заканчивается в основной тональности. Благодаря этому, реприза обычно менее динамична, чем все другие разделы (хотя возможны исключения).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Важно научить ребенка находить разделы крупной формы и понимать и исполнять побочную и заключительную партии в доминантовой тональности (в экспозиции) и в основной (в репризе).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Классические сонаты знакомят учащихся с особенностями музыкального языка периода классицизма, воспитывают чувство классической формы, ритмическую устойчивость исполнения. Благодаря исключительной лаконичности фортепианной  "инструментовки", малейшая неточность звукоизвлечения, невнимание к штрихам, передерживание или недодерживание отдельных звуков при исполнении этих произведений становятся особенно заметными и нетерпимыми.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Необходимо приучать учащихся при исполнении классических сонат, всегда очень отчетливо ощущать сильные доли такта, особенно важно это в затактовых построениях (как в рассматриваемой сонате); и при синкопах, потому что без ощущения постоянных центров тяготения мотивов к сильной доли в этих случаях происходит как бы смещение тактовой черты и смысл музыки искажается. Помочь ребенку яснее ощутить затакт и сильную долю, а также лучше понять структуру "вопрос - ответ" -  может подтекстовка, например "Какой сегодня день, милый мой дружок, Юленька? - Я не помню, но вроде вторник".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Педаль в классических сонатах используется относительно мало, в основном на сильную долю такта. А  А. Рубинштейн советовал исполнять Гайдна с использованием левой педали.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Суть Гайдновского искусства очень точно передает история,  сообщенная И. Эльслером в письме к биографу Гайдна Гризингеру: " 10 мая 1809 года наполеоновские войска, осадившие Вену, начали бомбардировку города. Один снаряд  упал неподалеку от дома Гайдна. Перепуганные слуги вбежали к нему в комнату. Привстав с кресла, престарелый маэстро уверенно произнес: "Не бойтесь, дети, там где Гайдн, не может случиться ничего плохого".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Природный оптимизм, душевное здоровье, неистощимый юмор,</w:t>
      </w:r>
      <w:r>
        <w:rPr>
          <w:rFonts w:ascii="Cambria" w:hAnsi="Cambria" w:eastAsia="Cambria" w:cs="Cambria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default" w:ascii="Cambria" w:hAnsi="Cambria" w:eastAsia="Cambria" w:cs="Cambria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простодушное лукавство свойственно творчеству композитора.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mbria" w:hAnsi="Cambria" w:eastAsia="Cambria" w:cs="Cambria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22 сентября 1802 года в письме,как бы подводящем итог деятельности, Гайдн писал: « Часто, когда я боролся с препятствиями разного рода, возникавшими на пути моих трудов, когда я ощущал упадок сил моего духа и тела, и мне становилось тяжело удерживаться на избранном поприще- тайное чувство шептало мне: «В этом мире так мало довольных и счастливых людей, везде их преследуют заботы и гое; быть может, твоя работа послужит иногда источником из которого обремененный заботой или усталый от дел человек будет черпать отдохновение и бодрость». Это служило мне мощным побудительным средством, заставлявшим стремиться вперед и это же является причиной того, что я теперь с радостным одушевлением оглядываюсь на работу, в течение столь долгой вереницы лет с неотступным усердием и усилием производившуюся мною для музыкального искусства.»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Это письмо, характеризующее творчество Гайдна, приводят в своих работах многие исследователи гайдновского наследия.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Музыка Гайдна - это мягкий свет, ясность контуров и легкость конструкции . Изучая сонаты Гайдна в музыкальной школе, мы знакомим ученика с общим характером звучности, используемой в произведениях ранних венских классиков, тесно связанной с квартетно-оркестровым письмом. Стиль - ясный, прозрачный. В изложении господствуют характерные формы гомофонной фактуры. Фактура строго дифференцирована по планам. Мелодический материал поручен исключительно правой руке, а в партии левой руки используются традиционные формулы аккомпанемента,  выработанные итальянской инструментальной школой: альбертиевы басы, мерно пульсирующие восьмые, мерные шаги четвертей.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Важным качеством тематизма Гайдна становится "цепляемость" элементов темы, их прочная сопряженность, логическая взаимосвязь, чеканная логика последовательных элементов. В этом взаимодействии главную роль играет гармония. Возникновение тем "тезис-антитезис", "вопрос-ответ", "зерно-развитие-результат", "тезис-антитезис-синтез" тоже необходимо связать с именем Гайдна. В его темах можно обнаружить и контрастное противопоставление тематически различных элементов, и выведение противоположного начала из единого путем гармонических смешений, сопоставлений типа Т-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D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; 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D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-Т, и контрастирование тематических элементов с синтезом их в заключительном  разделе всего построения.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Йозеф Гайдн (1739-1809) свои фортепианные сонаты сочинял на протяжении всей жизни -  с ранней юности до глубокой старости. В первых сонатах он продолжил линию австрийской национальной клавирной школы (образцом  служили «Партиты» и «Дивертисменты» венского композитора  Г.К.Вагензейля).  В более зрелых сонатах  современники усматривали  черты, близкие стилю Ф. Э. Баха. Многое воспринял  Гайдн  у В. Моцарта, особенно  в отношении обогащения  мелодики и совершенства формы. .  Долгое время считалось, что Гайдном написано 52 сонаты (  столько значится в каталоге Антони Ван Хобокена, музыковеда,  известного составителя полного каталога произведений Гайдна), но в 1963 году под редакцией Кристи Лэндон было издано собрание, содержащее 62 сонаты и это число музыковеды не решаются назвать окончательным, возможно, будут обнаружены и другие.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Соната 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C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-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dur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(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HOB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. 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XVI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№ 10) сочинена ранее 1767 года. В первых изданиях носила название "Дивертисмент для клавичембало". Мотив главной партии 1 части очень близок началу Гайдновской композиции без названия для 2-х скрипок, флейты, 2-х валторн, альта и баса. Эту информацию мы читаем в советском издании избранных сонат Гайдна под редакцией Леонида Ройзмана. Нам известно, что клавичембало- итальянское название клавесина, инструмента, с щипковой механикой. Значит при исполнении этой сонаты, как прочем и исполнение всего Гайдна, звук не должен быть излишне глубоким, даже легато не требует излишней сочности, технические пассажи и украшения должны исполняться легким прозрачным звуком, иногда в тончайшем 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leggiero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. Довольно значительное место в мелодической линии занимают мелизмы- трели, форшлаги, группетто, морденты.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Гайдн не оставил нам расшифровки своих украшений.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Трель, почти все современные венским классикам руководства, вплоть до фортепианной школы Гуммеля (1828), предписывали исполнять с верхней вспомогательной ноты. После Гуммеля в теории устанавливается современный способ расшифровки трели- с главной ноты. Трудно предположить, что гуммелевский принцип исполнения этих украшений получил так быстро повсеместное распространение, если бы не был подготовлен практикой, Поэтому при расшифровке трели у венских классиков представляется отнюдь не обязательным во всех случаях придерживаться догматически старинного правила исполнения. В редакциях  сонат Гайдна Л. Ройзмана и Мартинсена трели расшифровываются с основной ноты, в этом случае возникает полиритмия между руками ( три на два) и учащиеся не всегда могут справиться с этой проблемой. Поэтому долгие трели, особенно в каденционных оборотах, лучше исполнять с верхнего вспомогательного звука.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Форшлаги у Гайдна встречаются короткие и долгие. При расшифровке форшлагов, следует помнить, что венские классики широко употребляли условный вид записи этих украшений.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jc w:val="both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Внутреннюю ценность сонатам Гайдна всегда придает неисчерпаемое богатство идей и стремление к совершенствованию формы. Благодаря этому  Гайдн приходит к смелым и неожиданным оборотам в фактуре, к резкой смене высокого и низкого регистров, к внезапным контрастам в звучании, которые в противовес более отточенной моцартовской фортепианной фактуре, и придают его сонатам зачастую более независимый, свободный, капризный и изменчивый характер.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120" w:afterAutospacing="0" w:line="15" w:lineRule="atLeast"/>
        <w:ind w:left="435"/>
        <w:rPr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shd w:val="clear" w:fill="FFFFFF"/>
        </w:rPr>
        <w:t>       </w:t>
      </w:r>
      <w:r>
        <w:rPr>
          <w:rFonts w:hint="default" w:ascii="Arial CYR" w:hAnsi="Arial CYR" w:eastAsia="Arial CYR" w:cs="Arial CYR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         СПИСОК ИСПОЛЬЗОВАННОЙ ЛИТЕРАТУРЫ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rPr>
          <w:sz w:val="32"/>
          <w:szCs w:val="32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ind w:left="720"/>
        <w:rPr>
          <w:sz w:val="32"/>
          <w:szCs w:val="32"/>
        </w:rPr>
      </w:pPr>
      <w:r>
        <w:rPr>
          <w:rFonts w:hint="default" w:ascii="Arial CYR" w:hAnsi="Arial CYR" w:eastAsia="Arial CYR" w:cs="Arial CYR"/>
          <w:i w:val="0"/>
          <w:caps w:val="0"/>
          <w:color w:val="333333"/>
          <w:spacing w:val="0"/>
          <w:sz w:val="32"/>
          <w:szCs w:val="32"/>
          <w:shd w:val="clear" w:fill="FFFFFF"/>
        </w:rPr>
        <w:t> 1.  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shd w:val="clear" w:fill="FFFFFF"/>
        </w:rPr>
        <w:t>Л. Ройзман. Вступительная статья к изданию избранных сонат Й. Гайдна Музгиз 1961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ind w:left="720"/>
        <w:rPr>
          <w:sz w:val="32"/>
          <w:szCs w:val="32"/>
        </w:rPr>
      </w:pPr>
      <w:r>
        <w:rPr>
          <w:rFonts w:hint="default" w:ascii="Arial CYR" w:hAnsi="Arial CYR" w:eastAsia="Arial CYR" w:cs="Arial CYR"/>
          <w:i w:val="0"/>
          <w:caps w:val="0"/>
          <w:color w:val="333333"/>
          <w:spacing w:val="0"/>
          <w:sz w:val="32"/>
          <w:szCs w:val="32"/>
          <w:shd w:val="clear" w:fill="FFFFFF"/>
        </w:rPr>
        <w:t> 2.  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shd w:val="clear" w:fill="FFFFFF"/>
        </w:rPr>
        <w:t>А. Алексеев История фортепианного искусства М. Музыка 1988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ind w:left="720"/>
        <w:rPr>
          <w:sz w:val="32"/>
          <w:szCs w:val="32"/>
        </w:rPr>
      </w:pPr>
      <w:r>
        <w:rPr>
          <w:rFonts w:hint="default" w:ascii="Arial CYR" w:hAnsi="Arial CYR" w:eastAsia="Arial CYR" w:cs="Arial CYR"/>
          <w:i w:val="0"/>
          <w:caps w:val="0"/>
          <w:color w:val="333333"/>
          <w:spacing w:val="0"/>
          <w:sz w:val="32"/>
          <w:szCs w:val="32"/>
          <w:shd w:val="clear" w:fill="FFFFFF"/>
        </w:rPr>
        <w:t> 3.  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shd w:val="clear" w:fill="FFFFFF"/>
        </w:rPr>
        <w:t>А, Алексеев Методика обучения игре на фортепиано М. Музыка 1978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ind w:left="720"/>
        <w:rPr>
          <w:sz w:val="32"/>
          <w:szCs w:val="32"/>
        </w:rPr>
      </w:pPr>
      <w:r>
        <w:rPr>
          <w:rFonts w:hint="default" w:ascii="Arial CYR" w:hAnsi="Arial CYR" w:eastAsia="Arial CYR" w:cs="Arial CYR"/>
          <w:i w:val="0"/>
          <w:caps w:val="0"/>
          <w:color w:val="333333"/>
          <w:spacing w:val="0"/>
          <w:sz w:val="32"/>
          <w:szCs w:val="32"/>
          <w:shd w:val="clear" w:fill="FFFFFF"/>
        </w:rPr>
        <w:t> 4.  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shd w:val="clear" w:fill="FFFFFF"/>
        </w:rPr>
        <w:t>Мария Баринова  Очерки по методике игры на фортепиано 1926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ind w:left="720"/>
        <w:rPr>
          <w:sz w:val="32"/>
          <w:szCs w:val="32"/>
        </w:rPr>
      </w:pPr>
      <w:r>
        <w:rPr>
          <w:rFonts w:hint="default" w:ascii="Arial CYR" w:hAnsi="Arial CYR" w:eastAsia="Arial CYR" w:cs="Arial CYR"/>
          <w:i w:val="0"/>
          <w:caps w:val="0"/>
          <w:color w:val="333333"/>
          <w:spacing w:val="0"/>
          <w:sz w:val="32"/>
          <w:szCs w:val="32"/>
          <w:shd w:val="clear" w:fill="FFFFFF"/>
        </w:rPr>
        <w:t> 5.  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shd w:val="clear" w:fill="FFFFFF"/>
        </w:rPr>
        <w:t>Б. Асафьев О симфонической и камерной музыке Л.1981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ind w:left="720"/>
        <w:rPr>
          <w:sz w:val="32"/>
          <w:szCs w:val="32"/>
        </w:rPr>
      </w:pPr>
      <w:r>
        <w:rPr>
          <w:rFonts w:hint="default" w:ascii="Arial CYR" w:hAnsi="Arial CYR" w:eastAsia="Arial CYR" w:cs="Arial CYR"/>
          <w:i w:val="0"/>
          <w:caps w:val="0"/>
          <w:color w:val="333333"/>
          <w:spacing w:val="0"/>
          <w:sz w:val="32"/>
          <w:szCs w:val="32"/>
          <w:shd w:val="clear" w:fill="FFFFFF"/>
        </w:rPr>
        <w:t> 6.  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shd w:val="clear" w:fill="FFFFFF"/>
        </w:rPr>
        <w:t>Я. Мильштейн Стилистические особенности исполнения сочинений Гайдна</w:t>
      </w:r>
    </w:p>
    <w:p>
      <w:pPr>
        <w:pStyle w:val="3"/>
        <w:keepNext w:val="0"/>
        <w:keepLines w:val="0"/>
        <w:widowControl/>
        <w:suppressLineNumbers w:val="0"/>
        <w:spacing w:after="120" w:afterAutospacing="0" w:line="15" w:lineRule="atLeast"/>
        <w:ind w:left="720"/>
        <w:rPr>
          <w:sz w:val="32"/>
          <w:szCs w:val="32"/>
        </w:rPr>
      </w:pPr>
      <w:r>
        <w:rPr>
          <w:rFonts w:hint="default" w:ascii="Arial CYR" w:hAnsi="Arial CYR" w:eastAsia="Arial CYR" w:cs="Arial CYR"/>
          <w:i w:val="0"/>
          <w:caps w:val="0"/>
          <w:color w:val="333333"/>
          <w:spacing w:val="0"/>
          <w:sz w:val="32"/>
          <w:szCs w:val="32"/>
          <w:shd w:val="clear" w:fill="FFFFFF"/>
        </w:rPr>
        <w:t> 7.  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shd w:val="clear" w:fill="FFFFFF"/>
        </w:rPr>
        <w:t>Пауль  Бадура-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shd w:val="clear" w:fill="FFFFFF"/>
          <w:lang w:val="ru-RU"/>
        </w:rPr>
        <w:t>Ш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shd w:val="clear" w:fill="FFFFFF"/>
        </w:rPr>
        <w:t>кода К вопросу об орнаментике Гайдна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15" w:lineRule="atLeast"/>
        <w:ind w:lef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SimSun" w:cs="Arial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CYR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7180A"/>
    <w:rsid w:val="3DD7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2020-06-15T17:16:00Z</dcterms:created>
  <dc:creator>natalya-kryuchkova</dc:creator>
  <cp:lastModifiedBy>natalya-kryuchkova</cp:lastModifiedBy>
  <dcterms:modified xsi:type="dcterms:W3CDTF">2020-06-15T17:29:45Z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